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3452" w14:textId="3D6CC4CD" w:rsidR="00646BE8" w:rsidRPr="002676C9" w:rsidRDefault="00646BE8" w:rsidP="00646BE8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Załącznik nr </w:t>
      </w:r>
      <w:r w:rsidR="00CF4B75">
        <w:rPr>
          <w:rFonts w:ascii="Arial" w:hAnsi="Arial" w:cs="Arial"/>
          <w:b/>
          <w:sz w:val="24"/>
          <w:szCs w:val="24"/>
        </w:rPr>
        <w:t>4</w:t>
      </w:r>
      <w:r w:rsidR="00FE31DC">
        <w:rPr>
          <w:rFonts w:ascii="Arial" w:hAnsi="Arial" w:cs="Arial"/>
          <w:b/>
          <w:sz w:val="24"/>
          <w:szCs w:val="24"/>
        </w:rPr>
        <w:t xml:space="preserve"> do Uchwały Nr 829/3</w:t>
      </w:r>
      <w:bookmarkStart w:id="0" w:name="_GoBack"/>
      <w:bookmarkEnd w:id="0"/>
      <w:r w:rsidRPr="002676C9">
        <w:rPr>
          <w:rFonts w:ascii="Arial" w:hAnsi="Arial" w:cs="Arial"/>
          <w:b/>
          <w:sz w:val="24"/>
          <w:szCs w:val="24"/>
        </w:rPr>
        <w:t xml:space="preserve">/24 </w:t>
      </w:r>
    </w:p>
    <w:p w14:paraId="37EA120B" w14:textId="77777777" w:rsidR="00646BE8" w:rsidRPr="002676C9" w:rsidRDefault="00646BE8" w:rsidP="00646BE8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Zarządu Województwa Pomorskiego </w:t>
      </w:r>
    </w:p>
    <w:p w14:paraId="29C30B2F" w14:textId="5A4340D1" w:rsidR="00646BE8" w:rsidRPr="002676C9" w:rsidRDefault="00646BE8" w:rsidP="00646BE8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 dnia </w:t>
      </w:r>
      <w:r w:rsidR="00FE31DC">
        <w:rPr>
          <w:rFonts w:ascii="Arial" w:hAnsi="Arial" w:cs="Arial"/>
          <w:b/>
          <w:sz w:val="24"/>
          <w:szCs w:val="24"/>
        </w:rPr>
        <w:t>2 lipca 2024 roku</w:t>
      </w:r>
    </w:p>
    <w:p w14:paraId="6271343C" w14:textId="77777777" w:rsidR="00646BE8" w:rsidRDefault="00646BE8" w:rsidP="00646BE8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FB36C52" w14:textId="4DE4ED52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704B50">
        <w:rPr>
          <w:rFonts w:ascii="Arial" w:hAnsi="Arial" w:cs="Arial"/>
          <w:b/>
          <w:sz w:val="24"/>
          <w:szCs w:val="24"/>
        </w:rPr>
        <w:t>„Efektywne zarządzanie odpadami- zero waste w domu i w ogrodzie</w:t>
      </w:r>
      <w:r w:rsidR="00AE63D5" w:rsidRPr="00650382">
        <w:rPr>
          <w:rFonts w:ascii="Arial" w:hAnsi="Arial" w:cs="Arial"/>
          <w:b/>
          <w:sz w:val="24"/>
          <w:szCs w:val="24"/>
        </w:rPr>
        <w:t>”</w:t>
      </w:r>
      <w:r w:rsidR="008B099E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11F93F16" w14:textId="77777777" w:rsidR="00650382" w:rsidRDefault="00650382" w:rsidP="00646BE8">
      <w:pPr>
        <w:pStyle w:val="Tytu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D852716" w14:textId="3A90E616" w:rsidR="005D42C3" w:rsidRPr="00646BE8" w:rsidRDefault="00F9792F" w:rsidP="00646BE8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1"/>
      <w:r w:rsidRPr="00D238C4">
        <w:rPr>
          <w:rFonts w:ascii="Arial" w:hAnsi="Arial" w:cs="Arial"/>
        </w:rPr>
        <w:t>.</w:t>
      </w:r>
    </w:p>
    <w:p w14:paraId="2DCDCECE" w14:textId="4EC26ACA" w:rsidR="00327545" w:rsidRPr="00D238C4" w:rsidRDefault="00327545" w:rsidP="00704B50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D238C4">
        <w:rPr>
          <w:rFonts w:ascii="Arial" w:hAnsi="Arial" w:cs="Arial"/>
        </w:rPr>
        <w:t>operacji</w:t>
      </w:r>
      <w:r w:rsidR="00944C51" w:rsidRPr="00D238C4">
        <w:rPr>
          <w:rFonts w:ascii="Arial" w:hAnsi="Arial" w:cs="Arial"/>
        </w:rPr>
        <w:t xml:space="preserve"> </w:t>
      </w:r>
      <w:r w:rsidRPr="00D238C4">
        <w:rPr>
          <w:rFonts w:ascii="Arial" w:hAnsi="Arial" w:cs="Arial"/>
        </w:rPr>
        <w:t>–</w:t>
      </w:r>
      <w:r w:rsidR="00704B50" w:rsidRPr="00704B50">
        <w:rPr>
          <w:rFonts w:ascii="Arial" w:hAnsi="Arial" w:cs="Arial"/>
        </w:rPr>
        <w:t>„</w:t>
      </w:r>
      <w:r w:rsidR="00704B50" w:rsidRPr="00DD124F">
        <w:rPr>
          <w:rFonts w:ascii="Arial" w:hAnsi="Arial" w:cs="Arial"/>
          <w:b/>
        </w:rPr>
        <w:t>Efektywne zarządzanie odpadami- zero waste w domu i w ogrodzie</w:t>
      </w:r>
      <w:r w:rsidR="00704B50" w:rsidRPr="00704B50">
        <w:rPr>
          <w:rFonts w:ascii="Arial" w:hAnsi="Arial" w:cs="Arial"/>
        </w:rPr>
        <w:t xml:space="preserve">” </w:t>
      </w:r>
      <w:r w:rsidR="00944C51" w:rsidRPr="00D238C4">
        <w:rPr>
          <w:rFonts w:ascii="Arial" w:hAnsi="Arial" w:cs="Arial"/>
        </w:rPr>
        <w:t>ujętej</w:t>
      </w:r>
      <w:r w:rsidR="00572EBF" w:rsidRPr="00D238C4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 xml:space="preserve">w </w:t>
      </w:r>
      <w:r w:rsidR="00572EBF" w:rsidRPr="00D238C4">
        <w:rPr>
          <w:rFonts w:ascii="Arial" w:hAnsi="Arial" w:cs="Arial"/>
        </w:rPr>
        <w:t>P</w:t>
      </w:r>
      <w:r w:rsidR="00944C51" w:rsidRPr="00D238C4">
        <w:rPr>
          <w:rFonts w:ascii="Arial" w:hAnsi="Arial" w:cs="Arial"/>
        </w:rPr>
        <w:t>lanie operacyjnym KSOW na lata 2024-2025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2612417A" w:rsidR="00BA4731" w:rsidRPr="00D238C4" w:rsidRDefault="00BA4731" w:rsidP="008B75C6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</w:t>
      </w:r>
      <w:r w:rsidR="008B75C6" w:rsidRPr="008B75C6">
        <w:rPr>
          <w:rFonts w:ascii="Arial" w:hAnsi="Arial" w:cs="Arial"/>
        </w:rPr>
        <w:t>pomorskie koła gospodyń wiejskich (KGW), organizacje pozarządowe działające m.in. na rzecz kobiet oraz jednostki samorządu terytorialnego i podległe im organiz</w:t>
      </w:r>
      <w:r w:rsidR="008B75C6">
        <w:rPr>
          <w:rFonts w:ascii="Arial" w:hAnsi="Arial" w:cs="Arial"/>
        </w:rPr>
        <w:t>acje,</w:t>
      </w:r>
      <w:r w:rsidRPr="00D238C4">
        <w:rPr>
          <w:rFonts w:ascii="Arial" w:hAnsi="Arial" w:cs="Arial"/>
        </w:rPr>
        <w:t xml:space="preserve"> posiadające status partnera KSOW [zarejestrowane w bazie partnerów na portalu internetowym </w:t>
      </w:r>
      <w:hyperlink r:id="rId9" w:history="1">
        <w:r w:rsidRPr="00D238C4">
          <w:rPr>
            <w:rStyle w:val="Hipercze"/>
            <w:rFonts w:ascii="Arial" w:hAnsi="Arial" w:cs="Arial"/>
          </w:rPr>
          <w:t>www.ksow.pl</w:t>
        </w:r>
      </w:hyperlink>
      <w:r w:rsidRPr="00D238C4">
        <w:rPr>
          <w:rFonts w:ascii="Arial" w:hAnsi="Arial" w:cs="Arial"/>
        </w:rPr>
        <w:t xml:space="preserve">]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2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15677CEF" w:rsidR="00BD471B" w:rsidRPr="00D238C4" w:rsidRDefault="002E1A40" w:rsidP="00704B50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zgłoszone do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</w:t>
      </w:r>
      <w:r w:rsidR="007A3275" w:rsidRPr="00D238C4">
        <w:rPr>
          <w:rFonts w:ascii="Arial" w:hAnsi="Arial" w:cs="Arial"/>
        </w:rPr>
        <w:t xml:space="preserve">muszą być zgodne z działaniem </w:t>
      </w:r>
      <w:r w:rsidR="008F3B59" w:rsidRPr="00D238C4">
        <w:rPr>
          <w:rFonts w:ascii="Arial" w:hAnsi="Arial" w:cs="Arial"/>
        </w:rPr>
        <w:t xml:space="preserve">KSOW </w:t>
      </w:r>
      <w:r w:rsidR="007A3275" w:rsidRPr="00D238C4">
        <w:rPr>
          <w:rFonts w:ascii="Arial" w:hAnsi="Arial" w:cs="Arial"/>
        </w:rPr>
        <w:t xml:space="preserve">określonym w Planie </w:t>
      </w:r>
      <w:r w:rsidR="00B27691" w:rsidRPr="00D238C4">
        <w:rPr>
          <w:rFonts w:ascii="Arial" w:hAnsi="Arial" w:cs="Arial"/>
        </w:rPr>
        <w:t xml:space="preserve">działania </w:t>
      </w:r>
      <w:r w:rsidR="007A3275" w:rsidRPr="00D238C4">
        <w:rPr>
          <w:rFonts w:ascii="Arial" w:hAnsi="Arial" w:cs="Arial"/>
        </w:rPr>
        <w:t xml:space="preserve">Krajowej Sieci Obszarów Wiejskich na lata </w:t>
      </w:r>
      <w:r w:rsidR="00B27691" w:rsidRPr="00D238C4">
        <w:rPr>
          <w:rFonts w:ascii="Arial" w:eastAsia="Calibri" w:hAnsi="Arial" w:cs="Arial"/>
        </w:rPr>
        <w:t xml:space="preserve">2014-2020 </w:t>
      </w:r>
      <w:r w:rsidR="007A3275" w:rsidRPr="00D238C4">
        <w:rPr>
          <w:rFonts w:ascii="Arial" w:hAnsi="Arial" w:cs="Arial"/>
        </w:rPr>
        <w:t xml:space="preserve">- </w:t>
      </w:r>
      <w:r w:rsidR="00704B50" w:rsidRPr="00704B50">
        <w:rPr>
          <w:rFonts w:ascii="Arial" w:hAnsi="Arial" w:cs="Arial"/>
        </w:rPr>
        <w:t>„Promocja zrównoważone</w:t>
      </w:r>
      <w:r w:rsidR="00704B50">
        <w:rPr>
          <w:rFonts w:ascii="Arial" w:hAnsi="Arial" w:cs="Arial"/>
        </w:rPr>
        <w:t>go rozwoju obszarów wiejskich”,</w:t>
      </w:r>
      <w:r w:rsidR="001F03C3" w:rsidRPr="00D238C4">
        <w:rPr>
          <w:rFonts w:ascii="Arial" w:hAnsi="Arial" w:cs="Arial"/>
        </w:rPr>
        <w:t xml:space="preserve"> które realizuje cel 1 KSOW </w:t>
      </w:r>
      <w:r w:rsidR="00B27691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D238C4">
        <w:rPr>
          <w:rFonts w:ascii="Arial" w:hAnsi="Arial" w:cs="Arial"/>
        </w:rPr>
        <w:t xml:space="preserve"> oraz priorytetem  PROW 2014-2020</w:t>
      </w:r>
      <w:r w:rsidR="00704B50">
        <w:rPr>
          <w:rFonts w:ascii="Arial" w:hAnsi="Arial" w:cs="Arial"/>
          <w:i/>
        </w:rPr>
        <w:t xml:space="preserve">”- </w:t>
      </w:r>
      <w:r w:rsidR="00704B50" w:rsidRPr="00704B50">
        <w:rPr>
          <w:rFonts w:ascii="Arial" w:hAnsi="Arial" w:cs="Arial"/>
          <w:i/>
        </w:rPr>
        <w:t>Wspieranie transferu wiedzy i innowacji w rolnictwie, leśnictwi</w:t>
      </w:r>
      <w:r w:rsidR="00704B50">
        <w:rPr>
          <w:rFonts w:ascii="Arial" w:hAnsi="Arial" w:cs="Arial"/>
          <w:i/>
        </w:rPr>
        <w:t>e i na obszarach wiejskich” i</w:t>
      </w:r>
      <w:r w:rsidR="00704B50" w:rsidRPr="00704B50">
        <w:rPr>
          <w:rFonts w:ascii="Arial" w:hAnsi="Arial" w:cs="Arial"/>
          <w:i/>
        </w:rPr>
        <w:t xml:space="preserve"> „W</w:t>
      </w:r>
      <w:r w:rsidR="00704B50">
        <w:rPr>
          <w:rFonts w:ascii="Arial" w:hAnsi="Arial" w:cs="Arial"/>
          <w:i/>
        </w:rPr>
        <w:t>s</w:t>
      </w:r>
      <w:r w:rsidR="00704B50" w:rsidRPr="00704B50">
        <w:rPr>
          <w:rFonts w:ascii="Arial" w:hAnsi="Arial" w:cs="Arial"/>
          <w:i/>
        </w:rPr>
        <w:t>pieranie efektywnego gospodarowania zasobami i przechodzenia na gospodarkę niskoemisyjną i odporną na zmianę klimatu w sektorach rolnym, spożywczym i leśnym”</w:t>
      </w:r>
    </w:p>
    <w:p w14:paraId="1DF05D59" w14:textId="5A16AA78" w:rsidR="007A3275" w:rsidRPr="00D238C4" w:rsidRDefault="007A3275" w:rsidP="00704B50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wyłącznie projektów </w:t>
      </w:r>
      <w:r w:rsidR="0021799C" w:rsidRPr="00D238C4">
        <w:rPr>
          <w:rFonts w:ascii="Arial" w:hAnsi="Arial" w:cs="Arial"/>
        </w:rPr>
        <w:t>z zakresu „</w:t>
      </w:r>
      <w:r w:rsidR="00704B50">
        <w:rPr>
          <w:rFonts w:ascii="Arial" w:hAnsi="Arial" w:cs="Arial"/>
        </w:rPr>
        <w:t>Efektywne zarządzanie odpadami – zero waste w domu i w ogrodzie</w:t>
      </w:r>
      <w:r w:rsidR="0021799C" w:rsidRPr="00D238C4">
        <w:rPr>
          <w:rFonts w:ascii="Arial" w:hAnsi="Arial" w:cs="Arial"/>
        </w:rPr>
        <w:t>”</w:t>
      </w:r>
      <w:r w:rsidR="00704B50" w:rsidRPr="00704B50">
        <w:t xml:space="preserve"> </w:t>
      </w:r>
      <w:r w:rsidR="00704B50" w:rsidRPr="00704B50">
        <w:rPr>
          <w:rFonts w:ascii="Arial" w:hAnsi="Arial" w:cs="Arial"/>
        </w:rPr>
        <w:t>realizowanych w formie warsztatów, szkoleń lub innych form szkoleniowych skierowanych do mieszkańców obszarów wiejskich</w:t>
      </w:r>
      <w:r w:rsidR="00240388">
        <w:rPr>
          <w:rFonts w:ascii="Arial" w:hAnsi="Arial" w:cs="Arial"/>
        </w:rPr>
        <w:t xml:space="preserve"> z województwa pomorskiego</w:t>
      </w:r>
      <w:r w:rsidR="00704B50" w:rsidRPr="00704B50">
        <w:rPr>
          <w:rFonts w:ascii="Arial" w:hAnsi="Arial" w:cs="Arial"/>
        </w:rPr>
        <w:t>, w szczególności kobiet oraz kół gospodyń wiejskich (KGW)</w:t>
      </w:r>
      <w:r w:rsidR="001F03C3" w:rsidRPr="00704B50">
        <w:rPr>
          <w:rFonts w:ascii="Arial" w:hAnsi="Arial" w:cs="Arial"/>
        </w:rPr>
        <w:t xml:space="preserve">, których celem jest </w:t>
      </w:r>
      <w:r w:rsidR="00704B50" w:rsidRPr="00704B50">
        <w:rPr>
          <w:rFonts w:ascii="Arial" w:hAnsi="Arial" w:cs="Arial"/>
        </w:rPr>
        <w:t xml:space="preserve">wykreowanie postaw ekologicznych oraz podniesienie świadomości społecznej na temat gospodarowania odpadami oraz propagowania idei zero waste. </w:t>
      </w:r>
    </w:p>
    <w:p w14:paraId="6E063472" w14:textId="298E9405" w:rsidR="00C25D9D" w:rsidRPr="00D238C4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Minimalna liczba osób biorąc</w:t>
      </w:r>
      <w:r w:rsidR="001F3686">
        <w:rPr>
          <w:rFonts w:ascii="Arial" w:hAnsi="Arial" w:cs="Arial"/>
        </w:rPr>
        <w:t>ych</w:t>
      </w:r>
      <w:r w:rsidRPr="00D238C4">
        <w:rPr>
          <w:rFonts w:ascii="Arial" w:hAnsi="Arial" w:cs="Arial"/>
        </w:rPr>
        <w:t xml:space="preserve"> udział w </w:t>
      </w:r>
      <w:r w:rsidR="00927C2F" w:rsidRPr="00D238C4">
        <w:rPr>
          <w:rFonts w:ascii="Arial" w:hAnsi="Arial" w:cs="Arial"/>
        </w:rPr>
        <w:t xml:space="preserve">warsztatach, szkoleniach lub innych formach szkoleniowych zakłada udział </w:t>
      </w:r>
      <w:r w:rsidR="00704B50">
        <w:rPr>
          <w:rFonts w:ascii="Arial" w:hAnsi="Arial" w:cs="Arial"/>
          <w:u w:val="single"/>
        </w:rPr>
        <w:t>15</w:t>
      </w:r>
      <w:r w:rsidR="00927C2F" w:rsidRPr="00D238C4">
        <w:rPr>
          <w:rFonts w:ascii="Arial" w:hAnsi="Arial" w:cs="Arial"/>
          <w:u w:val="single"/>
        </w:rPr>
        <w:t xml:space="preserve"> osób</w:t>
      </w:r>
      <w:r w:rsidR="00927C2F" w:rsidRPr="00D238C4">
        <w:rPr>
          <w:rFonts w:ascii="Arial" w:hAnsi="Arial" w:cs="Arial"/>
        </w:rPr>
        <w:t xml:space="preserve"> (w ramach </w:t>
      </w:r>
      <w:r w:rsidR="0055662A" w:rsidRPr="00D238C4">
        <w:rPr>
          <w:rFonts w:ascii="Arial" w:hAnsi="Arial" w:cs="Arial"/>
        </w:rPr>
        <w:t>jednego projektu</w:t>
      </w:r>
      <w:r w:rsidR="00927C2F" w:rsidRPr="00D238C4">
        <w:rPr>
          <w:rFonts w:ascii="Arial" w:hAnsi="Arial" w:cs="Arial"/>
        </w:rPr>
        <w:t xml:space="preserve">).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lastRenderedPageBreak/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4DEEAC5F" w:rsidR="00F9792F" w:rsidRPr="00650382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</w:t>
      </w:r>
      <w:r w:rsidR="00BA03C9">
        <w:rPr>
          <w:rFonts w:ascii="Arial" w:hAnsi="Arial" w:cs="Arial"/>
        </w:rPr>
        <w:t>ysokość</w:t>
      </w:r>
      <w:r w:rsidRPr="00650382">
        <w:rPr>
          <w:rFonts w:ascii="Arial" w:hAnsi="Arial" w:cs="Arial"/>
        </w:rPr>
        <w:t xml:space="preserve"> środków finansowych przewidziana do alokacji w ramach Konkursu</w:t>
      </w:r>
      <w:r w:rsidR="00171110" w:rsidRPr="00650382">
        <w:rPr>
          <w:rFonts w:ascii="Arial" w:hAnsi="Arial" w:cs="Arial"/>
        </w:rPr>
        <w:t xml:space="preserve"> wynosi </w:t>
      </w:r>
      <w:r w:rsidR="008F3B59">
        <w:rPr>
          <w:rFonts w:ascii="Arial" w:hAnsi="Arial" w:cs="Arial"/>
        </w:rPr>
        <w:br/>
      </w:r>
      <w:r w:rsidR="00646BE8" w:rsidRPr="00DD124F">
        <w:rPr>
          <w:rFonts w:ascii="Arial" w:hAnsi="Arial" w:cs="Arial"/>
        </w:rPr>
        <w:t>90 000</w:t>
      </w:r>
      <w:r w:rsidR="00FB6D11" w:rsidRPr="00DD124F">
        <w:rPr>
          <w:rFonts w:ascii="Arial" w:hAnsi="Arial" w:cs="Arial"/>
        </w:rPr>
        <w:t>,00</w:t>
      </w:r>
      <w:r w:rsidRPr="00DD124F">
        <w:rPr>
          <w:rFonts w:ascii="Arial" w:hAnsi="Arial" w:cs="Arial"/>
        </w:rPr>
        <w:t xml:space="preserve"> zł.</w:t>
      </w:r>
    </w:p>
    <w:p w14:paraId="51319F57" w14:textId="0AE1303D" w:rsidR="00F664C6" w:rsidRPr="00650382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Wnioskowana kwota dofinansowania</w:t>
      </w:r>
      <w:r w:rsidR="00171110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 xml:space="preserve">na </w:t>
      </w:r>
      <w:r w:rsidR="00C53601" w:rsidRPr="00764E6A">
        <w:rPr>
          <w:rFonts w:ascii="Arial" w:hAnsi="Arial" w:cs="Arial"/>
        </w:rPr>
        <w:t xml:space="preserve">realizację </w:t>
      </w:r>
      <w:r w:rsidR="00F328C3" w:rsidRPr="00E95B66">
        <w:rPr>
          <w:rFonts w:ascii="Arial" w:hAnsi="Arial" w:cs="Arial"/>
        </w:rPr>
        <w:t>pojedynczego</w:t>
      </w:r>
      <w:r w:rsidR="00E95B66" w:rsidRPr="00E95B66">
        <w:rPr>
          <w:rFonts w:ascii="Arial" w:hAnsi="Arial" w:cs="Arial"/>
        </w:rPr>
        <w:t xml:space="preserve"> </w:t>
      </w:r>
      <w:r w:rsidR="00171110" w:rsidRPr="00E95B66">
        <w:rPr>
          <w:rFonts w:ascii="Arial" w:hAnsi="Arial" w:cs="Arial"/>
        </w:rPr>
        <w:t>projektu</w:t>
      </w:r>
      <w:r w:rsidR="00171110" w:rsidRPr="00650382">
        <w:rPr>
          <w:rFonts w:ascii="Arial" w:hAnsi="Arial" w:cs="Arial"/>
        </w:rPr>
        <w:t xml:space="preserve"> wynosi maksymalnie </w:t>
      </w:r>
      <w:r w:rsidR="006429DB" w:rsidRPr="00E95B66">
        <w:rPr>
          <w:rFonts w:ascii="Arial" w:hAnsi="Arial" w:cs="Arial"/>
        </w:rPr>
        <w:t>15</w:t>
      </w:r>
      <w:r w:rsidR="00FB6D11">
        <w:rPr>
          <w:rFonts w:ascii="Arial" w:hAnsi="Arial" w:cs="Arial"/>
        </w:rPr>
        <w:t> </w:t>
      </w:r>
      <w:r w:rsidR="00F9792F" w:rsidRPr="00E95B66">
        <w:rPr>
          <w:rFonts w:ascii="Arial" w:hAnsi="Arial" w:cs="Arial"/>
        </w:rPr>
        <w:t>000</w:t>
      </w:r>
      <w:r w:rsidR="00FB6D11">
        <w:rPr>
          <w:rFonts w:ascii="Arial" w:hAnsi="Arial" w:cs="Arial"/>
        </w:rPr>
        <w:t>,00</w:t>
      </w:r>
      <w:r w:rsidR="00F9792F" w:rsidRPr="00E95B66">
        <w:rPr>
          <w:rFonts w:ascii="Arial" w:hAnsi="Arial" w:cs="Arial"/>
        </w:rPr>
        <w:t xml:space="preserve"> zł</w:t>
      </w:r>
      <w:r w:rsidR="00F9792F" w:rsidRPr="00650382">
        <w:rPr>
          <w:rFonts w:ascii="Arial" w:hAnsi="Arial" w:cs="Arial"/>
        </w:rPr>
        <w:t xml:space="preserve"> na </w:t>
      </w:r>
      <w:bookmarkStart w:id="3" w:name="_Hlk160524745"/>
      <w:r w:rsidR="00307381">
        <w:rPr>
          <w:rFonts w:ascii="Arial" w:hAnsi="Arial" w:cs="Arial"/>
        </w:rPr>
        <w:t>koszty</w:t>
      </w:r>
      <w:r w:rsidR="00307381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>kwalifikowalne</w:t>
      </w:r>
      <w:bookmarkEnd w:id="3"/>
      <w:r w:rsidR="00F9792F" w:rsidRPr="00650382">
        <w:rPr>
          <w:rFonts w:ascii="Arial" w:hAnsi="Arial" w:cs="Arial"/>
        </w:rPr>
        <w:t>.</w:t>
      </w:r>
      <w:r w:rsidR="00F328C3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650382">
        <w:rPr>
          <w:rFonts w:ascii="Arial" w:hAnsi="Arial" w:cs="Arial"/>
        </w:rPr>
        <w:t>liście kosztów niekwalifikowalnych</w:t>
      </w:r>
      <w:bookmarkEnd w:id="4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734B1983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 ogłoszenia prasowe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</w:t>
      </w:r>
      <w:r w:rsidR="008B4AC5" w:rsidRPr="00D238C4">
        <w:rPr>
          <w:rFonts w:ascii="Arial" w:hAnsi="Arial" w:cs="Arial"/>
        </w:rPr>
        <w:lastRenderedPageBreak/>
        <w:t xml:space="preserve">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1859AE2E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Zgłoszenie </w:t>
      </w:r>
      <w:r w:rsidR="00D21EB5" w:rsidRPr="005D42C3">
        <w:rPr>
          <w:rFonts w:ascii="Arial" w:hAnsi="Arial" w:cs="Arial"/>
        </w:rPr>
        <w:t xml:space="preserve">na konkurs </w:t>
      </w:r>
      <w:r w:rsidR="00BB3B44" w:rsidRPr="00A76277">
        <w:rPr>
          <w:rFonts w:ascii="Arial" w:hAnsi="Arial" w:cs="Arial"/>
        </w:rPr>
        <w:t>dla partnerów KSOW</w:t>
      </w:r>
      <w:r w:rsidR="00BB3B44">
        <w:rPr>
          <w:rFonts w:ascii="Arial" w:hAnsi="Arial" w:cs="Arial"/>
        </w:rPr>
        <w:t xml:space="preserve"> - </w:t>
      </w:r>
      <w:r w:rsidR="00D21EB5" w:rsidRPr="005D42C3">
        <w:rPr>
          <w:rFonts w:ascii="Arial" w:hAnsi="Arial" w:cs="Arial"/>
        </w:rPr>
        <w:t>„</w:t>
      </w:r>
      <w:r w:rsidR="003B765D" w:rsidRPr="003B765D">
        <w:rPr>
          <w:rFonts w:ascii="Arial" w:hAnsi="Arial" w:cs="Arial"/>
        </w:rPr>
        <w:t>Efektywne zarządzanie odpadami – zero waste w domu i w ogrodzie</w:t>
      </w:r>
      <w:r w:rsidRPr="005D42C3">
        <w:rPr>
          <w:rFonts w:ascii="Arial" w:hAnsi="Arial" w:cs="Arial"/>
        </w:rPr>
        <w:t>”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6" w:name="_Hlk158282260"/>
      <w:r w:rsidRPr="00797616">
        <w:rPr>
          <w:rFonts w:ascii="Arial" w:hAnsi="Arial" w:cs="Arial"/>
          <w:b/>
        </w:rPr>
        <w:t xml:space="preserve">§ </w:t>
      </w:r>
      <w:bookmarkEnd w:id="6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366B7AF8" w:rsidR="002D4434" w:rsidRPr="00E95B66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</w:t>
      </w:r>
      <w:r w:rsidR="002D4434" w:rsidRPr="002D4434">
        <w:rPr>
          <w:rFonts w:ascii="Arial" w:hAnsi="Arial" w:cs="Arial"/>
        </w:rPr>
        <w:t>roces</w:t>
      </w:r>
      <w:r>
        <w:rPr>
          <w:rFonts w:ascii="Arial" w:hAnsi="Arial" w:cs="Arial"/>
        </w:rPr>
        <w:t>u</w:t>
      </w:r>
      <w:r w:rsidR="002D4434" w:rsidRPr="002D4434">
        <w:rPr>
          <w:rFonts w:ascii="Arial" w:hAnsi="Arial" w:cs="Arial"/>
        </w:rPr>
        <w:t xml:space="preserve"> oceny wniosków liczony jest od dnia następującego po dniu zakończenia naboru</w:t>
      </w:r>
      <w:r w:rsidR="00E961D8">
        <w:rPr>
          <w:rFonts w:ascii="Arial" w:hAnsi="Arial" w:cs="Arial"/>
        </w:rPr>
        <w:t xml:space="preserve"> </w:t>
      </w:r>
      <w:r w:rsidR="002D4434" w:rsidRPr="002D4434">
        <w:rPr>
          <w:rFonts w:ascii="Arial" w:hAnsi="Arial" w:cs="Arial"/>
        </w:rPr>
        <w:t xml:space="preserve">wniosków do dnia ogłoszenia na stronach internetowych listy </w:t>
      </w:r>
      <w:r w:rsidR="00E961D8">
        <w:rPr>
          <w:rFonts w:ascii="Arial" w:hAnsi="Arial" w:cs="Arial"/>
        </w:rPr>
        <w:t>ocenionych</w:t>
      </w:r>
      <w:r w:rsidR="000A76D5">
        <w:rPr>
          <w:rFonts w:ascii="Arial" w:hAnsi="Arial" w:cs="Arial"/>
        </w:rPr>
        <w:t xml:space="preserve"> projektów i trwa do 45</w:t>
      </w:r>
      <w:r w:rsidR="002D4434" w:rsidRPr="002D4434">
        <w:rPr>
          <w:rFonts w:ascii="Arial" w:hAnsi="Arial" w:cs="Arial"/>
        </w:rPr>
        <w:t xml:space="preserve"> 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7695BD8D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7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7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</w:t>
      </w:r>
      <w:r w:rsidRPr="00B615FF">
        <w:rPr>
          <w:rFonts w:ascii="Arial" w:hAnsi="Arial" w:cs="Arial"/>
          <w:i/>
          <w:iCs/>
          <w:lang w:eastAsia="ar-SA"/>
        </w:rPr>
        <w:lastRenderedPageBreak/>
        <w:t xml:space="preserve">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7F233AAF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704B50">
        <w:rPr>
          <w:rFonts w:ascii="Arial" w:hAnsi="Arial" w:cs="Arial"/>
          <w:u w:val="single"/>
        </w:rPr>
        <w:t>on</w:t>
      </w:r>
      <w:r w:rsidR="00EF2691">
        <w:rPr>
          <w:rFonts w:ascii="Arial" w:hAnsi="Arial" w:cs="Arial"/>
          <w:u w:val="single"/>
        </w:rPr>
        <w:t xml:space="preserve">kursie </w:t>
      </w:r>
      <w:r w:rsidR="00EF2691" w:rsidRPr="00EF2691">
        <w:rPr>
          <w:rFonts w:ascii="Arial" w:hAnsi="Arial" w:cs="Arial"/>
          <w:i/>
          <w:u w:val="single"/>
        </w:rPr>
        <w:t>( 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4F21F0E" w:rsidR="00101E98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8" w:name="_Hlk158034650"/>
    </w:p>
    <w:p w14:paraId="079E4E48" w14:textId="5F2DCCBD" w:rsidR="00DD124F" w:rsidRDefault="00DD124F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B144B6B" w14:textId="77777777" w:rsidR="00DD124F" w:rsidRPr="00174549" w:rsidRDefault="00DD124F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8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lastRenderedPageBreak/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9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lastRenderedPageBreak/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0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lastRenderedPageBreak/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2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3BADEEF1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7E7F66">
        <w:rPr>
          <w:rFonts w:ascii="Arial" w:hAnsi="Arial" w:cs="Arial"/>
        </w:rPr>
        <w:t xml:space="preserve"> na</w:t>
      </w:r>
      <w:r w:rsidR="00201C8D" w:rsidRPr="00202ABC">
        <w:rPr>
          <w:rFonts w:ascii="Arial" w:hAnsi="Arial" w:cs="Arial"/>
        </w:rPr>
        <w:t xml:space="preserve"> stronie internetowej</w:t>
      </w:r>
      <w:r w:rsidR="005C468C">
        <w:rPr>
          <w:rFonts w:ascii="Arial" w:hAnsi="Arial" w:cs="Arial"/>
        </w:rPr>
        <w:t xml:space="preserve">  </w:t>
      </w:r>
      <w:hyperlink r:id="rId11" w:history="1">
        <w:r w:rsidR="005C468C" w:rsidRPr="007E7F66">
          <w:rPr>
            <w:rStyle w:val="Hipercze"/>
            <w:rFonts w:ascii="Arial" w:hAnsi="Arial" w:cs="Arial"/>
            <w:color w:val="auto"/>
            <w:u w:val="none"/>
          </w:rPr>
          <w:t>dprow@pomorskie.eu</w:t>
        </w:r>
      </w:hyperlink>
      <w:r w:rsidR="005C468C" w:rsidRPr="007E7F66">
        <w:rPr>
          <w:rFonts w:ascii="Arial" w:hAnsi="Arial" w:cs="Arial"/>
        </w:rPr>
        <w:t xml:space="preserve">  </w:t>
      </w:r>
      <w:r w:rsidR="00201C8D" w:rsidRPr="007E7F66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BC22" w14:textId="77777777" w:rsidR="007B6083" w:rsidRDefault="007B6083" w:rsidP="00B64161">
      <w:pPr>
        <w:spacing w:after="0" w:line="240" w:lineRule="auto"/>
      </w:pPr>
      <w:r>
        <w:separator/>
      </w:r>
    </w:p>
  </w:endnote>
  <w:endnote w:type="continuationSeparator" w:id="0">
    <w:p w14:paraId="3CDEA741" w14:textId="77777777" w:rsidR="007B6083" w:rsidRDefault="007B6083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2704" w14:textId="77777777" w:rsidR="007B6083" w:rsidRDefault="007B6083" w:rsidP="00B64161">
      <w:pPr>
        <w:spacing w:after="0" w:line="240" w:lineRule="auto"/>
      </w:pPr>
      <w:r>
        <w:separator/>
      </w:r>
    </w:p>
  </w:footnote>
  <w:footnote w:type="continuationSeparator" w:id="0">
    <w:p w14:paraId="79F0BE7C" w14:textId="77777777" w:rsidR="007B6083" w:rsidRDefault="007B6083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678A53-DB62-434E-B898-9FCF0354A87B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019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4467"/>
    <w:rsid w:val="00065637"/>
    <w:rsid w:val="00065DB8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57AD"/>
    <w:rsid w:val="00096124"/>
    <w:rsid w:val="00097FF1"/>
    <w:rsid w:val="000A05A0"/>
    <w:rsid w:val="000A2223"/>
    <w:rsid w:val="000A352F"/>
    <w:rsid w:val="000A6EC1"/>
    <w:rsid w:val="000A76D5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4474"/>
    <w:rsid w:val="00114591"/>
    <w:rsid w:val="0011471D"/>
    <w:rsid w:val="00114F1C"/>
    <w:rsid w:val="00115741"/>
    <w:rsid w:val="00116FD4"/>
    <w:rsid w:val="001202B7"/>
    <w:rsid w:val="00120E21"/>
    <w:rsid w:val="00121770"/>
    <w:rsid w:val="00122447"/>
    <w:rsid w:val="0012271C"/>
    <w:rsid w:val="00123B89"/>
    <w:rsid w:val="00124530"/>
    <w:rsid w:val="00124613"/>
    <w:rsid w:val="00124BD2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32"/>
    <w:rsid w:val="00135DBB"/>
    <w:rsid w:val="00135DF3"/>
    <w:rsid w:val="001364BA"/>
    <w:rsid w:val="00140E4E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03DE3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88"/>
    <w:rsid w:val="002403AA"/>
    <w:rsid w:val="002418F9"/>
    <w:rsid w:val="00242693"/>
    <w:rsid w:val="00245539"/>
    <w:rsid w:val="00245F5B"/>
    <w:rsid w:val="00246BEE"/>
    <w:rsid w:val="00246D50"/>
    <w:rsid w:val="002509B7"/>
    <w:rsid w:val="00250EEC"/>
    <w:rsid w:val="00253243"/>
    <w:rsid w:val="002533F6"/>
    <w:rsid w:val="00255A95"/>
    <w:rsid w:val="00255C98"/>
    <w:rsid w:val="002579C8"/>
    <w:rsid w:val="0026154B"/>
    <w:rsid w:val="002625C8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484E"/>
    <w:rsid w:val="002B4CD5"/>
    <w:rsid w:val="002B6324"/>
    <w:rsid w:val="002B7441"/>
    <w:rsid w:val="002B7EA0"/>
    <w:rsid w:val="002C1282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12F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8F2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5190"/>
    <w:rsid w:val="003B5393"/>
    <w:rsid w:val="003B7234"/>
    <w:rsid w:val="003B765D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07A"/>
    <w:rsid w:val="0055521A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5DF"/>
    <w:rsid w:val="00592926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68C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BE8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1D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4B50"/>
    <w:rsid w:val="00705842"/>
    <w:rsid w:val="00705F33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B4"/>
    <w:rsid w:val="00734D9D"/>
    <w:rsid w:val="00734FC6"/>
    <w:rsid w:val="00735AD7"/>
    <w:rsid w:val="00735B16"/>
    <w:rsid w:val="00736269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06FF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3CA4"/>
    <w:rsid w:val="007B3FE2"/>
    <w:rsid w:val="007B6083"/>
    <w:rsid w:val="007B61D5"/>
    <w:rsid w:val="007B6CF8"/>
    <w:rsid w:val="007B7871"/>
    <w:rsid w:val="007C1A99"/>
    <w:rsid w:val="007C20BE"/>
    <w:rsid w:val="007C2DE5"/>
    <w:rsid w:val="007C52D3"/>
    <w:rsid w:val="007C68DD"/>
    <w:rsid w:val="007C7A21"/>
    <w:rsid w:val="007D323C"/>
    <w:rsid w:val="007D7DD0"/>
    <w:rsid w:val="007E215F"/>
    <w:rsid w:val="007E3B61"/>
    <w:rsid w:val="007E3B8C"/>
    <w:rsid w:val="007E5192"/>
    <w:rsid w:val="007E6618"/>
    <w:rsid w:val="007E7010"/>
    <w:rsid w:val="007E7F66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5D41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2677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85AA3"/>
    <w:rsid w:val="008905B3"/>
    <w:rsid w:val="00891586"/>
    <w:rsid w:val="0089250C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B75C6"/>
    <w:rsid w:val="008C01AF"/>
    <w:rsid w:val="008C05F3"/>
    <w:rsid w:val="008C0827"/>
    <w:rsid w:val="008C1AD2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4190"/>
    <w:rsid w:val="009048B5"/>
    <w:rsid w:val="00904E03"/>
    <w:rsid w:val="00905DFB"/>
    <w:rsid w:val="00905E82"/>
    <w:rsid w:val="0090682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2FBE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095"/>
    <w:rsid w:val="00957A9D"/>
    <w:rsid w:val="0096166E"/>
    <w:rsid w:val="00961EB1"/>
    <w:rsid w:val="00962B2F"/>
    <w:rsid w:val="009637C7"/>
    <w:rsid w:val="009647BF"/>
    <w:rsid w:val="009667F3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638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38B4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07A10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EA5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235B"/>
    <w:rsid w:val="00B12B5C"/>
    <w:rsid w:val="00B1529D"/>
    <w:rsid w:val="00B16B63"/>
    <w:rsid w:val="00B21CC1"/>
    <w:rsid w:val="00B23463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820"/>
    <w:rsid w:val="00B50E00"/>
    <w:rsid w:val="00B51589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680"/>
    <w:rsid w:val="00B63DC6"/>
    <w:rsid w:val="00B64161"/>
    <w:rsid w:val="00B64718"/>
    <w:rsid w:val="00B658DB"/>
    <w:rsid w:val="00B71AB8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645C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D31"/>
    <w:rsid w:val="00C835C4"/>
    <w:rsid w:val="00C83E2A"/>
    <w:rsid w:val="00C8628E"/>
    <w:rsid w:val="00C87A1E"/>
    <w:rsid w:val="00C9041C"/>
    <w:rsid w:val="00C90523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C21"/>
    <w:rsid w:val="00CB1825"/>
    <w:rsid w:val="00CB4D64"/>
    <w:rsid w:val="00CB6467"/>
    <w:rsid w:val="00CB6D20"/>
    <w:rsid w:val="00CC0A66"/>
    <w:rsid w:val="00CC2858"/>
    <w:rsid w:val="00CC28D1"/>
    <w:rsid w:val="00CC4E19"/>
    <w:rsid w:val="00CD11AE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4B75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24F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61EB"/>
    <w:rsid w:val="00E566F6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798B"/>
    <w:rsid w:val="00EB1FA2"/>
    <w:rsid w:val="00EB7CEC"/>
    <w:rsid w:val="00EC0E3D"/>
    <w:rsid w:val="00EC1027"/>
    <w:rsid w:val="00EC1205"/>
    <w:rsid w:val="00EC1556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2691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B6D11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1DC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8A53-DB62-434E-B898-9FCF0354A87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44D7CB-2FAC-4976-B929-4F952157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3915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45</cp:revision>
  <cp:lastPrinted>2024-02-08T08:27:00Z</cp:lastPrinted>
  <dcterms:created xsi:type="dcterms:W3CDTF">2024-03-20T09:06:00Z</dcterms:created>
  <dcterms:modified xsi:type="dcterms:W3CDTF">2024-07-02T10:12:00Z</dcterms:modified>
</cp:coreProperties>
</file>